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Per l’anno 2026 La Relazione non risulta ancora validata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